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FIU-RF04 | Free Trade Zone DPMS Red Flags - ENTITY: MADISON LLC FTZ risks: FTZ-to-FTZ USD wire settlements, no physical presence, FTZ transit for documentation change, new entity with immediate high volume, sanctioned jurisdiction ownership, customs discrepancies. Dubai hosts 73% of DPMS. Regulatory Basis: UAE FIU DPMS Report; UAE NRA 2024; UAE FDL No.(10) of 2025 Art. 15-16; FATF Guidance for DPMS (2020)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