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HSV2-TPK-2026-04-06-UNASSIGNED-FIU-RF04_Free_Trade_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FIU-RF04 | Free Trade Zone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FTZ risks: FTZ-to-FTZ USD wire settlements, no physical presence, FTZ transit for documentation change, new entity with immediate high volume, sanctioned jurisdiction ownership, customs discrepancies. Dubai hosts 73% of DPMS.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LLCFTZ risks: FTZ-to-FTZ USD wire settlements, no physical presence, FTZ transit for documentation change, new entity with immediate high volume, sanctioned jurisdiction ownership, customs discrepancies. Dubai hosts 73% of DPMS.Regulatory Basis: UAE FIU DPMS Report; UAE NRA 2024; UAE FDL No.(10) of 2025 Art. 15-16; FATF Guidance for DPMS (2020)Priority: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