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1213964638768773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HSV2-TPK-2026-04-06-UNASSIGNED-FIU-RF04_Free_Trade_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1213964638768773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FIU-RF04 | Free Trade Zone DPMS Red Flags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1213964638768773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https://app.asana.com/1/1213645083721316/project/1213908508433868/task/1213964638768773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FTZ risks: FTZ-to-FTZ USD wire settlements, no physical presence, FTZ transit for documentation change, new entity with immediate high volume, sanctioned jurisdiction ownership, customs discrepancies. Dubai hosts 73% of DPMS.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FIU DPMS Report; UAE NRA 2024; UAE FDL No.(10) of 2025 Art. 15-16; FATF Guidance for DPMS (2020)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BRANCHFTZ risks: FTZ-to-FTZ USD wire settlements, no physical presence, FTZ transit for documentation change, new entity with immediate high volume, sanctioned jurisdiction ownership, customs discrepancies. Dubai hosts 73% of DPMS.Regulatory Basis: UAE FIU DPMS Report; UAE NRA 2024; UAE FDL No.(10) of 2025 Art. 15-16; FATF Guidance for DPMS (2020)Priority: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