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FIU-RF05 | Suspicious Customer Profile Patterns - ENTITY: FG LLC Profile mismatches: multiple DPMS accounts, income inconsistent with volumes, new company with immediate large transactions, changing ID documents, non-resident repeated high-value, adverse media associations. Regulatory Basis: UAE FIU DPMS Report; UAE NRA 2024; UAE FDL No.(10) of 2025 Art. 16; Cabinet Resolution 134/2025 Art. 4,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