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HSV2-TPK-2026-04-06-UNASSIGNED-FIU-RF05_Suspicious_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FIU-RF05 | Suspicious Customer Profile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Profile mismatches: multiple DPMS accounts, income inconsistent with volumes, new company with immediate large transactions, changing ID documents, non-resident repeated high-value, adverse media associations.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16; Cabinet Resolution 134/2025 Art. 4,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FIU-RF05 | Suspicious Customer Profile Patterns - ENTITY: MADISON LLC Profile mismatches: multiple DPMS accounts, income inconsistent with volumes, new company with immediate large transactions, changing ID documents, non-resident repeated high-value, adverse media associations. Regulatory Basis: UAE FIU DPMS Report; UAE NRA 2024; UAE FDL No.(10) of 2025 Art. 16; Cabinet Resolution 134/2025 Art. 4, 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