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HSV2-TPK-2026-04-06-UNASSIGNED-FIU-RF05_Suspicious_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1213959825297449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FIU-RF05 | Suspicious Customer Profile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1213959825297449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https://app.asana.com/1/1213645083721316/project/1213908827982041/task/1213959825297449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Profile mismatches: multiple DPMS accounts, income inconsistent with volumes, new company with immediate large transactions, changing ID documents, non-resident repeated high-value, adverse media associations.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16; Cabinet Resolution 134/2025 Art. 4,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LLCProfile mismatches: multiple DPMS accounts, income inconsistent with volumes, new company with immediate large transactions, changing ID documents, non-resident repeated high-value, adverse media associations.Regulatory Basis: UAE FIU DPMS Report; UAE NRA 2024; UAE FDL No.(10) of 2025 Art. 16; Cabinet Resolution 134/2025 Art. 4, 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