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COMPLIANCE PACK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 UNASSIGNED / Task 1213964638768772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reference:   HSV2-TPK-2026-04-06-UNASSIGNED-FIU-RF05_Suspicious_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      Confidential. For MLRO review and regulator disclosure only.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Version:              1.0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    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on:         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Addressee:            LF, Money Laundering Reporting Officer (MLRO)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Coverage:             Pack generated for Asana task 1213964638768772 on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Retention period:     10 years, in accordance with the applicable provision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of Federal Decree-Law No. 10 of 2025.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1. TASK IDENTIFICATION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name:         FIU-RF05 | Suspicious Customer Profile Patterns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reference:    1213964638768772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Project:           FG BRANCH - COMPLIANCE PROGRAMME 2026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Reporting entity:  UNASSIGNED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Assignee:          Luisa Fernanda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Created:           2026-04-05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Due date:          2026-10-03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Completed:         no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Asana permalink:   https://app.asana.com/1/1213645083721316/project/1213908508433868/task/1213964638768772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notes on file (first 1 000 characters):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ENTITY: FG BRANCH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Profile mismatches: multiple DPMS accounts, income inconsistent with volumes, new company with immediate large transactions, changing ID documents, non-resident repeated high-value, adverse media associations.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Regulatory Basis: UAE FIU DPMS Report; UAE NRA 2024; UAE FDL No.(10) of 2025 Art. 16; Cabinet Resolution 134/2025 Art. 4, 9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Priority: High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ENTITY: FG BRANCHProfile mismatches: multiple DPMS accounts, income inconsistent with volumes, new company with immediate large transactions, changing ID documents, non-resident repeated high-value, adverse media associations.Regulatory Basis: UAE FIU DPMS Report; UAE NRA 2024; UAE FDL No.(10) of 2025 Art. 16; Cabinet Resolution 134/2025 Art. 4, 9Priority: High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file: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FG_BRANCH_BATCH_4_of_4.csv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2. AUTOMATION PRE-SCREEN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automation pre-scan did not match any typology keyword in the task name or notes.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pre-scan is advisory only. The compliance function remains responsible for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final typology assessment and for any filing decision.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3. CUSTOMER IDENTIFICATION AND DUE DILIGENCE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Full legal name of customer or counterparty: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Trading name, if different: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type:                                [ natural person ] [ legal person ] [ arrangement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Nationality or place of incorporation: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birth or incorporation date: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Identification document type:                 [ passport ] [ Emirates ID ] [ trade licence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number: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issue date: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expiry date: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 of record: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Beneficial owner(s) identified: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funds stated by the customer: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wealth stated by the customer: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CDD depth applied:                            [ simplified ] [ standard ] [ enhanced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status:                                   [ yes ] [ no ]   if yes, attach the PEP screen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reviewed:        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risk rating assigned:                [ low ] [ medium ] [ high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latest CDD review: 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4. TRANSACTION DETAILS (if the task concerns a specific transaction)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date: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type:                 [ cash purchase ] [ cash sale ] [ trade-in ] [ refining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Item description: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Assay or certification reference: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Total consideration (AED):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Cash component (AED):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Non-cash component and method: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Counterparty role in transaction: [ buyer ] [ seller ] [ agent ] [ introducer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Aggregation applied: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Rolling thirty-day aggregated AED:[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DPMSR threshold assessment:       [ below ] [ at or above ] the cash transaction threshold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            specified by the DPMSR framework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5. RED-FLAG ASSESSMENT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Red flag identified: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Typology cited: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Narrative of concern (short paragraphs, facts only):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6. SANCTIONS AND PEP SCREENING RECORD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UNSC Consolidated List screen: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UAE Local Terrorist List screen (EOCN):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source list screen:       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screen:                     [ clear ] [ adverse hit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date: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performed by: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Evidence reference in the archive: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7. FILING DECISION MATRIX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Does this matter require a filing to the Financial Intelligence Unit through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platform?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Transaction Report (STR)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Activity Report (SAR)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Dealers in Precious Metals and Stones Report (DPMSR)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Partial Name Match Report (PNMR)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Funds Freeze Report (FFR)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No filing required at this stage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Filing reference assigned internally: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Internal filing deadline: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submission date, if filed: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receipt reference, if filed: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8. MLRO DECISION AND SIGN-OFF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decision:          [ file ] [ do not file ] [ further review requested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decision: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Reasoning (one short paragraph, factual):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Decided by:   LF, Money Laundering Reporting Officer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Signature:    __________________________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Date:         __________________________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9. RETENTION AND CONFIDENTIALITY NOTE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This pack and every supporting document are retained for a minimum of 10 years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 accordance with the applicable provision of Federal Decree-Law No. 10 of 2025. Access is restricted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 the MLRO, the compliance function and any authorised representative of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Ministry of Economy or the Financial Intelligence Unit acting in an official capacity.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SIGN-OFF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Reviewed by:   [awaiting MLRO review]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Approved by:   [awaiting MLRO approval]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For review by the MLRO, LF.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[End of document]</w:t>
      </w:r>
    </w:p>
    <w:sectPr>
      <w:pgSz w:w="12240" w:h="15840"/>
      <w:pgMar w:top="1080" w:right="1080" w:bottom="1080" w:left="1080" w:header="720" w:footer="720" w:gutter="0"/>
    </w:sectPr>
  </w:body>
</w:document>
</file>