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Enforcement risk: unremediated previous warning/fine, gaps matching 32-refinery suspension violations, incomplete inspection documentation, active goAML with no filings, missing training records, missing CDD files. Regulatory Basis: MOE DPMS Supervision; UAE FDL No.(10) of 2025 Art. 20; Cabinet Decision 71/2024;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