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HSV2-TPK-2026-04-06-UNASSIGNED-HR-02_AML_CFT_Traini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1213962483978951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HR-02 | AML/CFT Training Needs Assessment and Annual Plan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https://app.asana.com/1/1213645083721316/project/1213908611350810/task/1213962483978951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Training needs assessment across all roles. Define: role-specific content, delivery method, frequency, assessment criteria, pass marks, record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20(5);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HR-02 | AML/CFT Training Needs Assessment and Annual Plan - ENTITY: MADISON LLC Training needs assessment across all roles. Define: role-specific content, delivery method, frequency, assessment criteria, pass marks, record retention. Regulatory Basis: UAE FDL No.(10) of 2025 Art. 20(5); Cabinet Resolution 134/2025 Art. 59;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