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HSV2-TPK-2026-04-06-UNASSIGNED-HR-03_MLRO_and_CO_Qu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HR-03 | MLRO and CO Qualifications and CPD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Minimum qualifications for MLRO/CO: required certifications (CAMS, ICA), minimum experience, ongoing CPD hours, annual competency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21; Cabinet Resolution 134/2025 Art. 57-58; MOE DPMS Supervision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HR-03 | MLRO and CO Qualifications and CPD Requirements - ENTITY: MADISON LLC Minimum qualifications for MLRO/CO: required certifications (CAMS, ICA), minimum experience, ongoing CPD hours, annual competency review. Regulatory Basis: UAE FDL No.(10) of 2025 Art. 21; Cabinet Resolution 134/2025 Art. 57-58; MOE DPMS Supervision Framework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