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HSV2-TPK-2026-04-06-UNASSIGNED-HR-03_MLRO_and_CO_Qu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1213964638768826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HR-03 | MLRO and CO Qualifications and CPD Requirements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https://app.asana.com/1/1213645083721316/project/1213909833048586/task/1213964638768826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Minimum qualifications for MLRO/CO: required certifications (CAMS, ICA), minimum experience, ongoing CPD hours, annual competency review.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21; Cabinet Resolution 134/2025 Art. 57-58; MOE DPMS Supervision Framework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HR-03 | MLRO and CO Qualifications and CPD Requirements - ENTITY: FG LLC Minimum qualifications for MLRO/CO: required certifications (CAMS, ICA), minimum experience, ongoing CPD hours, annual competency review. Regulatory Basis: UAE FDL No.(10) of 2025 Art. 21; Cabinet Resolution 134/2025 Art. 57-58; MOE DPMS Supervision Framework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