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HSV2-TPK-2026-04-06-UNASSIGNED-HR-03_MLRO_and_CO_Qu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HR-03 | MLRO and CO Qualifications and CPD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Minimum qualifications for MLRO/CO: required certifications (CAMS, ICA), minimum experience, ongoing CPD hours, annual competency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21; Cabinet Resolution 134/2025 Art. 57-58; MOE DPMS Supervision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HR-03 | MLRO and CO Qualifications and CPD Requirements - ENTITY: GRAMALTIN AS Minimum qualifications for MLRO/CO: required certifications (CAMS, ICA), minimum experience, ongoing CPD hours, annual competency review. Regulatory Basis: UAE FDL No.(10) of 2025 Art. 21; Cabinet Resolution 134/2025 Art. 57-58; MOE DPMS Supervision Framework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