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1213965289703656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HSV2-TPK-2026-04-06-UNASSIGNED-HR-03_MLRO_and_CO_Qu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1213965289703656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HR-03 | MLRO and CO Qualifications and CPD Requirements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1213965289703656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https://app.asana.com/1/1213645083721316/project/1213908508433868/task/1213965289703656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Minimum qualifications for MLRO/CO: required certifications (CAMS, ICA), minimum experience, ongoing CPD hours, annual competency review.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21; Cabinet Resolution 134/2025 Art. 57-58; MOE DPMS Supervision Framework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HR-03 | MLRO and CO Qualifications and CPD Requirements - ENTITY: FG BRANCH Minimum qualifications for MLRO/CO: required certifications (CAMS, ICA), minimum experience, ongoing CPD hours, annual competency review. Regulatory Basis: UAE FDL No.(10) of 2025 Art. 21; Cabinet Resolution 134/2025 Art. 57-58; MOE DPMS Supervision Framework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