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1213962483978949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HSV2-TPK-2026-04-06-UNASSIGNED-HR-04_Whistleblower_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1213962483978949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HR-04 | Whistleblower Protection and Internal Reporting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1213962483978949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https://app.asana.com/1/1213645083721316/project/1213908611350810/task/1213962483978949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Whistleblower mechanism and confidential reporting channel: channels, investigation procedure, protection measures, non-retaliation policy, board escalation.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22; Cabinet Resolution 134/2025 Art. 19; FATF Rec. 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HR-04 | Whistleblower Protection and Internal Reporting - ENTITY: MADISON LLC Whistleblower mechanism and confidential reporting channel: channels, investigation procedure, protection measures, non-retaliation policy, board escalation. Regulatory Basis: UAE FDL No.(10) of 2025 Art. 22; Cabinet Resolution 134/2025 Art. 19; FATF Rec. 21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