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HSV2-TPK-2026-04-06-UNASSIGNED-HR-04_Whistleblower_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HR-04 | Whistleblower Protection and Internal Reporting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Whistleblower mechanism and confidential reporting channel: channels, investigation procedure, protection measures, non-retaliation policy, board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22; Cabinet Resolution 134/2025 Art. 19; FATF Rec. 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HR-04 | Whistleblower Protection and Internal Reporting - ENTITY: GRAMALTIN AS Whistleblower mechanism and confidential reporting channel: channels, investigation procedure, protection measures, non-retaliation policy, board escalation. Regulatory Basis: UAE FDL No.(10) of 2025 Art. 22; Cabinet Resolution 134/2025 Art. 19; FATF Rec. 21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