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1213962483978945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HSV2-TPK-2026-04-06-UNASSIGNED-HR-08_Compliance_Tra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1213962483978945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HR-08 | Compliance Training Effectiveness Measurement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1213962483978945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https://app.asana.com/1/1213645083721316/project/1213908611350810/task/1213962483978945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Metrics: pre/post assessment scores, knowledge retention testing, scenario-based evaluations, red flag identification accuracy, regulatory exam pass rates.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20(5); Cabinet Resolution 134/2025 Art. 59;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HR-08 | Compliance Training Effectiveness Measurement - ENTITY: MADISON LLC Metrics: pre/post assessment scores, knowledge retention testing, scenario-based evaluations, red flag identification accuracy, regulatory exam pass rates. Regulatory Basis: UAE FDL No.(10) of 2025 Art. 20(5); Cabinet Resolution 134/2025 Art. 59;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