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HSV2-TPK-2026-04-06-UNASSIGNED-HR-08_Compliance_Tra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HR-08 | Compliance Training Effectiveness Measurement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Metrics: pre/post assessment scores, knowledge retention testing, scenario-based evaluations, red flag identification accuracy, regulatory exam pass rates.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HR-08 | Compliance Training Effectiveness Measurement - ENTITY: GRAMALTIN AS Metrics: pre/post assessment scores, knowledge retention testing, scenario-based evaluations, red flag identification accuracy, regulatory exam pass rates. Regulatory Basis: UAE FDL No.(10) of 2025 Art. 20(5);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