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HSV2-TPK-2026-04-06-UNASSIGNED-LBMA-01_Step_1_Manag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LBMA-01 | Step 1: Management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Board-level commitment, senior compliance person, internal communication,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1; FATF Guidance for DPMS (2020); OECD DDG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LBMA-01 | Step 1: Management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LLCBoard-level commitment, senior compliance person, internal communication, resource allocation.Regulatory Basis: LBMA RGG v9 Step 1; FATF Guidance for DPMS (2020); OECD DDGPriority: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