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HSV2-TPK-2026-04-06-UNASSIGNED-LBMA-01_Step_1_Manag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LBMA-01 | Step 1: Management Systems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Board-level commitment, senior compliance person, internal communication,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1; FATF Guidance for DPMS (2020); OECD DDG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LBMA-01 | Step 1: Management Systems - ENTITY: FG BRANCHBoard-level commitment, senior compliance person, internal communication, resource allocation.Regulatory Basis: LBMA RGG v9 Step 1; FATF Guidance for DPMS (2020); OECD DDGPriority: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