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HSV2-TPK-2026-04-06-UNASSIGNED-LBMA-01_Step_1_Manag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LBMA-01 | Step 1: Management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Board-level commitment, senior compliance person, internal communication, resource allocation.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1; FATF Guidance for DPMS (2020); OECD DDG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LBMA-01 | Step 1: Management Systems - ENTITY: GRAMALTIN ASBoard-level commitment, senior compliance person, internal communication, resource allocation.Regulatory Basis: LBMA RGG v9 Step 1; FATF Guidance for DPMS (2020); OECD DDGPriority: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