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HSV2-TPK-2026-04-06-UNASSIGNED-LBMA-01_Step_1_Manag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1213964639470808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LBMA-01 | Step 1: Management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https://app.asana.com/1/1213645083721316/project/1213908828069020/task/1213964639470808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Board-level commitment, senior compliance person, internal communication, resource allocation.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1; FATF Guidance for DPMS (2020); OECD DDG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LBMA-01 | Step 1: Management Systems - ENTITY: ZOE FZEBoard-level commitment, senior compliance person, internal communication, resource allocation.Regulatory Basis: LBMA RGG v9 Step 1; FATF Guidance for DPMS (2020); OECD DDGPriority: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