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HSV2-TPK-2026-04-06-UNASSIGNED-LBMA-02_Step_2_Risk_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LBMA-02 | Step 2: Risk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suppliers, assess country of origin, evaluate CAHRA exposure, screen against sanctions/adverse media, classify supplier risk.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2; LBMA RGG v9 Annex B; FATF Guidance for DPMS (2020) Sec.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LBMA-02 | Step 2: Risk Identification - ENTITY: GRAMALTIN ASMap suppliers, assess country of origin, evaluate CAHRA exposure, screen against sanctions/adverse media, classify supplier risk.Regulatory Basis: LBMA RGG v9 Step 2; LBMA RGG v9 Annex B;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