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1213958649360608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HSV2-TPK-2026-04-06-UNASSIGNED-LBMA-04_Step_4_Indep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1213958649360608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1213958649360608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https://app.asana.com/1/1213645083721316/project/1213909833048586/task/1213958649360608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portfolio, internal pre-audit, gap remediation, staff preparation, documentation completeness.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4; LBMA Audit Guidance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LLCEvidence portfolio, internal pre-audit, gap remediation, staff preparation, documentation completeness.Regulatory Basis: LBMA RGG v9 Step 4; LBMA Audit Guidance NotePriority: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