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HSV2-TPK-2026-04-06-UNASSIGNED-LBMA-04_Step_4_Indep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LBMA-04 | Step 4: Independent Third-Party Audit Preparation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https://app.asana.com/1/1213645083721316/project/1213908827982041/task/1213959825119991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portfolio, internal pre-audit, gap remediation, staff preparation, documentation completeness.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4; LBMA Audit Guidance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LBMA-04 | Step 4: Independent Third-Party Audit Preparation - ENTITY: NAPLES LLCEvidence portfolio, internal pre-audit, gap remediation, staff preparation, documentation completeness.Regulatory Basis: LBMA RGG v9 Step 4; LBMA Audit Guidance NotePriority: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