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1213962483841970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HSV2-TPK-2026-04-06-UNASSIGNED-LBMA-04_Step_4_Indep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1213962483841970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LBMA-04 | Step 4: Independent Third-Party Audit Preparation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1213962483841970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https://app.asana.com/1/1213645083721316/project/1213908611400789/task/1213962483841970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portfolio, internal pre-audit, gap remediation, staff preparation, documentation completeness.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4; LBMA Audit Guidance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LBMA-04 | Step 4: Independent Third-Party Audit Preparation - ENTITY: GRAMALTIN ASEvidence portfolio, internal pre-audit, gap remediation, staff preparation, documentation completeness.Regulatory Basis: LBMA RGG v9 Step 4; LBMA Audit Guidance NotePriority: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