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HSV2-TPK-2026-04-06-UNASSIGNED-LBMA-04_Step_4_Indep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1213964639470805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LBMA-04 | Step 4: Independent Third-Party Audit Preparation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portfolio, internal pre-audit, gap remediation, staff preparation, documentation completeness.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4; LBMA Audit Guidance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LBMA-04 | Step 4: Independent Third-Party Audit Preparation - ENTITY: ZOE FZEEvidence portfolio, internal pre-audit, gap remediation, staff preparation, documentation completeness.Regulatory Basis: LBMA RGG v9 Step 4; LBMA Audit Guidance NotePriority: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