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HSV2-TPK-2026-04-06-UNASSIGNED-LBMA-09_Supply_Chain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1213954968560433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LBMA-09 | Supply Chain Incident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https://app.asana.com/1/1213645083721316/project/1213908508433868/task/1213954968560433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findings response: suspend transaction, escalate to MLRO, assess STR obligation, notify board, document.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3-4; OECD DDG Annex II; UAE FDL No.(10) of 2025 Art.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Adverse findings response: suspend transaction, escalate to MLRO, assess STR obligation, notify board, document. Regulatory Basis: LBMA RGG v9 Steps 3-4; OECD DDG Annex II; UAE FDL No.(10) of 2025 Art. 15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