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HSV2-TPK-2026-04-06-UNASSIGNED-LBMA-09_Supply_Chain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LBMA-09 | Supply Chain Incident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findings response: suspend transaction, escalate to MLRO, assess STR obligation, notify board, document.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3-4; OECD DDG Annex II; UAE FDL No.(10) of 2025 Art.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LBMA-09 | Supply Chain Incident Response - ENTITY: MADISON LLC Adverse findings response: suspend transaction, escalate to MLRO, assess STR obligation, notify board, document. Regulatory Basis: LBMA RGG v9 Steps 3-4; OECD DDG Annex II; UAE FDL No.(10) of 2025 Art. 15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