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1213962483856601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HSV2-TPK-2026-04-06-UNASSIGNED-LBMA-09_Supply_Chain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1213962483856601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LBMA-09 | Supply Chain Incident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1213962483856601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https://app.asana.com/1/1213645083721316/project/1213908611400789/task/1213962483856601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findings response: suspend transaction, escalate to MLRO, assess STR obligation, notify board, document.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3-4; OECD DDG Annex II; UAE FDL No.(10) of 2025 Art.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LBMA-09 | Supply Chain Incident Response - ENTITY: GRAMALTIN AS Adverse findings response: suspend transaction, escalate to MLRO, assess STR obligation, notify board, document. Regulatory Basis: LBMA RGG v9 Steps 3-4; OECD DDG Annex II; UAE FDL No.(10) of 2025 Art. 15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