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HSV2-TPK-2026-04-06-UNASSIGNED-LBMA-10_ASM_Gold_Due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LBMA-10 | ASM Gold Due Diligence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ASM-specific DD: enhanced origin verification, community impact, child/forced labour red flags, ASM certification programmes, progressive engagement.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Gold; LBMA ASM Policy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LBMA-10 | ASM Gold Due Diligence Procedure - ENTITY: MADISON LLC ASM-specific DD: enhanced origin verification, community impact, child/forced labour red flags, ASM certification programmes, progressive engagement. Regulatory Basis: LBMA RGG v9 Step 3; OECD DDG Supplement on Gold; LBMA ASM Policy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