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for all AML/CFT policies (Compliance Manual, RS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FG BRANCH Establish formal board-level approval for all AML/CFT policies (Compliance Manual, RS Manual, EWRA, BWRA, TFS Policy). Board minutes must evidence review, challenge, and approval. Annual review cycle calendared.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