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for all AML/CFT policies (Compliance Manual, RS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FG LLCEstablish formal board-level approval for all AML/CFT policies (Compliance Manual, RS Manual, EWRA, BWRA, TFS Policy). Board minutes must evidence review, challenge, and approval. Annual review cycle calendared.Regulatory Basis: UAE FDL No.(10) of 2025 Art. 20; Cabinet Resolution 134/2025 Art. 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