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HSV2-TPK-2026-04-06-UNASSIGNED-MA-01_Board_Approval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1213959824030669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MA-01 | Board Approval of AML/CFT Policies and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https://app.asana.com/1/1213645083721316/project/1213908611400789/task/1213959824030669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formal board-level approval for all AML/CFT policies (Compliance Manual, RS Manual, EWRA, BWRA, TFS Policy). Board minutes must evidence review, challenge, and approval. Annual review cycle calendared.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MA-01 | Board Approval of AML/CFT Policies and Annual Review - ENTITY: GRAMALTIN AS Establish formal board-level approval for all AML/CFT policies (Compliance Manual, RS Manual, EWRA, BWRA, TFS Policy). Board minutes must evidence review, challenge, and approval. Annual review cycle calendared. Regulatory Basis: UAE FDL No.(10) of 2025 Art. 20; Cabinet Resolution 134/2025 Art. 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FINAL_GRAMALTIN_AS_ALL_TASKS_ASANA_IMPORT.csv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