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process for all AML/CFT policies (Compliance Manual, Responsible Sourcing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ZOE FZEEstablish formal board-level approval process for all AML/CFT policies (Compliance Manual, Responsible Sourcing Manual, EWRA, BWRA, TFS Policy). Board minutes must evidence review, challenge, and approval. Annual review cycle calendared.Regulatory Basis: UAE FDL No.(10) of 2025 Art. 20; Cabinet Resolution 134/2025 Art. 58; FATF Rec. 18Priority: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