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1213962483978972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HSV2-TPK-2026-04-06-UNASSIGNED-MA-01_Board_Approval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1213962483978972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MA-01 | Board Approval of AML/CFT Policies and Annual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1213962483978972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https://app.asana.com/1/1213645083721316/project/1213908611350810/task/1213962483978972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formal board-level approval process for all AML/CFT policies (Compliance Manual, Responsible Sourcing Manual, EWRA, BWRA, TFS Policy). Board minutes must evidence review, challenge, and approval. Annual review cycle calendared.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MA-01 | Board Approval of AML/CFT Policies and Annual Review - ENTITY: MADISON LLC Establish formal board-level approval process for all AML/CFT policies (Compliance Manual, Responsible Sourcing Manual, EWRA, BWRA, TFS Policy). Board minutes must evidence review, challenge, and approval. Annual review cycle calendared. Regulatory Basis: UAE FDL No.(10) of 2025 Art. 20; Cabinet Resolution 134/2025 Art. 58; FATF Rec. 18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