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for all AML/CFT policies (Compliance Manual, RS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MADISON LLCEstablish formal board-level approval for all AML/CFT policies (Compliance Manual, RS Manual, EWRA, BWRA, TFS Policy). Board minutes must evidence review, challenge, and approval. Annual review cycle calendared.Regulatory Basis: UAE FDL No.(10) of 2025 Art. 20; Cabinet Resolution 134/2025 Art. 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