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process for all AML/CFT policies (Compliance Manual, Responsible Sourcing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GRAMALTIN AS Establish formal board-level approval process for all AML/CFT policies (Compliance Manual, Responsible Sourcing Manual, EWRA, BWRA, TFS Policy). Board minutes must evidence review, challenge, and approval. Annual review cycle calendared.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