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for all AML/CFT policies (Compliance Manual, RS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NAPLES LLC Establish formal board-level approval for all AML/CFT policies (Compliance Manual, RS Manual, EWRA, BWRA, TFS Policy). Board minutes must evidence review, challenge, and approval. Annual review cycle calendared.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