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ZOE FZEEstablish formal board-level approval for all AML/CFT policies (Compliance Manual, RS Manual, EWRA, BWRA, TFS Policy). Board minutes must evidence review, challenge, and approval. Annual review cycle calendared.Regulatory Basis: UAE FDL No.(10) of 2025 Art. 20; Cabinet Resolution 134/2025 Art. 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