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process for all AML/CFT policies (Compliance Manual, Responsible Sourcing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FG BRANCH Establish formal board-level approval process for all AML/CFT policies (Compliance Manual, Responsible Sourcing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