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Documented sign-off for EWRA/BWRA: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MADISON LLCDocumented sign-off for EWRA/BWRA: risk appetite acknowledgement, residual risk acceptance, action plan endorsement, resource commitment.Regulatory Basis: UAE FDL No.(10) of 2025 Art. 20; Cabinet Resolution 134/2025 Art. 4-5; FATF Rec. 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