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HSV2-TPK-2026-04-06-UNASSIGNED-MA-02_Senior_Managem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1213964638919307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MA-02 | Senior Management Sign-Off on Risk Assessments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https://app.asana.com/1/1213645083721316/project/1213908611400789/task/1213964638919307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Implement documented sign-off for EWRA and BWRA: risk appetite acknowledgement, residual risk acceptance, action plan endorsement, resource commitment.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MA-02 | Senior Management Sign-Off on Risk Assessments - ENTITY: GRAMALTIN AS Implement documented sign-off for EWRA and BWRA: risk appetite acknowledgement, residual risk acceptance, action plan endorsement, resource commitment. Regulatory Basis: UAE FDL No.(10) of 2025 Art. 20; Cabinet Resolution 134/2025 Art. 4-5; FATF Rec. 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