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MLRO appointment: board resolution,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FG BRANCH Formal MLRO appointment: board resolution, TOR, direct reporting line, authority to access all records, independence from commercial functions, resource allocation. Regulatory Basis: UAE FDL No.(10) of 2025 Art. 20-21; Cabinet Resolution 134/2025 Art. 57-58;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