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MLRO appointment: board resolution,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GRAMALTIN AS Formal MLRO appointment: board resolution, TOR, direct reporting line, authority to access all records, independence from commercial functions, resource allocation. Regulatory Basis: UAE FDL No.(10) of 2025 Art. 20-21; Cabinet Resolution 134/2025 Art. 57-58;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