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formal MLRO appointment: board resolution, written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MADISON LLC Document formal MLRO appointment: board resolution, written TOR, direct reporting line, authority to access all records, independence from commercial functions, resource allocation. Regulatory Basis: UAE FDL No.(10) of 2025 Art. 20-21; Cabinet Resolution 134/2025 Art. 57-58;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