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formal MLRO appointment: board resolution, written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FG LLC Document formal MLRO appointment: board resolution, written TOR, direct reporting line, authority to access all records, independence from commercial functions, resource allocation. Regulatory Basis: UAE FDL No.(10) of 2025 Art. 20-21; Cabinet Resolution 134/2025 Art. 57-58;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