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formal MLRO appointment: board resolution, written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GRAMALTIN AS Document formal MLRO appointment: board resolution, written TOR, direct reporting line, authority to access all records, independence from commercial functions, resource allocation. Regulatory Basis: UAE FDL No.(10) of 2025 Art. 20-21; Cabinet Resolution 134/2025 Art. 57-58;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