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HSV2-TPK-2026-04-06-UNASSIGNED-MA-04_MLRO_Appointme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1213965289703675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MA-04 | MLRO Appointment and Independence Documentation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1213965289703675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https://app.asana.com/1/1213645083721316/project/1213908508433868/task/1213965289703675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formal MLRO appointment: board resolution, written TOR, direct reporting line, authority to access all records, independence from commercial functions, resource allocation.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MA-04 | MLRO Appointment and Independence Documentation - ENTITY: FG BRANCH Document formal MLRO appointment: board resolution, written TOR, direct reporting line, authority to access all records, independence from commercial functions, resource allocation. Regulatory Basis: UAE FDL No.(10) of 2025 Art. 20-21; Cabinet Resolution 134/2025 Art. 57-58;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