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approval workflow for STR/SAR filing decisions with decision rationale documentation for filed AND not-filed cases and full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MADISON LLC Establish formal approval workflow for STR/SAR filing decisions with decision rationale documentation for filed AND not-filed cases and full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