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HSV2-TPK-2026-04-06-UNASSIGNED-MA-05_STR_SAR_Filing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1213964638207760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MA-05 | STR/SAR Filing Decision Approval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https://app.asana.com/1/1213645083721316/project/1213908611350810/task/1213964638207760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 approval workflow for STR/SAR filing: initiator, reviewer, approver (MLRO), decision rationale for filed AND not-filed cases, audit trail.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MA-05 | STR/SAR Filing Decision Approval Matrix - ENTITY: MADISON LLCFormal approval workflow for STR/SAR filing: initiator, reviewer, approver (MLRO), decision rationale for filed AND not-filed cases, audit trail.Regulatory Basis: UAE FDL No.(10) of 2025 Art. 15; Cabinet Resolution 134/2025 Art. 18-19; UAE FIU goAML GuidancePriority: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FINAL_MADISON_LLC_ALL_TASKS_ASANA_IMPORT.csv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